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3" w:rsidRPr="008931E8" w:rsidRDefault="004553D3" w:rsidP="004553D3">
      <w:pPr>
        <w:pStyle w:val="NormalWeb"/>
        <w:rPr>
          <w:rFonts w:ascii="Cambria" w:hAnsi="Cambria"/>
          <w:color w:val="C0504D" w:themeColor="accent2"/>
          <w:sz w:val="32"/>
          <w:szCs w:val="32"/>
        </w:rPr>
      </w:pPr>
      <w:r w:rsidRPr="008931E8">
        <w:rPr>
          <w:rFonts w:ascii="Cambria" w:hAnsi="Cambria"/>
          <w:color w:val="C0504D" w:themeColor="accent2"/>
          <w:sz w:val="32"/>
          <w:szCs w:val="32"/>
        </w:rPr>
        <w:t xml:space="preserve">Why </w:t>
      </w:r>
      <w:r w:rsidR="008931E8" w:rsidRPr="008931E8">
        <w:rPr>
          <w:rFonts w:ascii="Cambria" w:hAnsi="Cambria"/>
          <w:color w:val="C0504D" w:themeColor="accent2"/>
          <w:sz w:val="32"/>
          <w:szCs w:val="32"/>
        </w:rPr>
        <w:t>Alienated</w:t>
      </w:r>
      <w:r w:rsidRPr="008931E8">
        <w:rPr>
          <w:rFonts w:ascii="Cambria" w:hAnsi="Cambria"/>
          <w:color w:val="C0504D" w:themeColor="accent2"/>
          <w:sz w:val="32"/>
          <w:szCs w:val="32"/>
        </w:rPr>
        <w:t xml:space="preserve"> </w:t>
      </w:r>
      <w:r w:rsidR="000F499B">
        <w:rPr>
          <w:rFonts w:ascii="Cambria" w:hAnsi="Cambria"/>
          <w:color w:val="C0504D" w:themeColor="accent2"/>
          <w:sz w:val="32"/>
          <w:szCs w:val="32"/>
        </w:rPr>
        <w:t>C</w:t>
      </w:r>
      <w:r w:rsidRPr="008931E8">
        <w:rPr>
          <w:rFonts w:ascii="Cambria" w:hAnsi="Cambria"/>
          <w:color w:val="C0504D" w:themeColor="accent2"/>
          <w:sz w:val="32"/>
          <w:szCs w:val="32"/>
        </w:rPr>
        <w:t>hild</w:t>
      </w:r>
      <w:r w:rsidR="008931E8" w:rsidRPr="008931E8">
        <w:rPr>
          <w:rFonts w:ascii="Cambria" w:hAnsi="Cambria"/>
          <w:color w:val="C0504D" w:themeColor="accent2"/>
          <w:sz w:val="32"/>
          <w:szCs w:val="32"/>
        </w:rPr>
        <w:t>ren</w:t>
      </w:r>
      <w:r w:rsidRPr="008931E8">
        <w:rPr>
          <w:rFonts w:ascii="Cambria" w:hAnsi="Cambria"/>
          <w:color w:val="C0504D" w:themeColor="accent2"/>
          <w:sz w:val="32"/>
          <w:szCs w:val="32"/>
        </w:rPr>
        <w:t xml:space="preserve"> can </w:t>
      </w:r>
      <w:r w:rsidR="000F499B">
        <w:rPr>
          <w:rFonts w:ascii="Cambria" w:hAnsi="Cambria"/>
          <w:color w:val="C0504D" w:themeColor="accent2"/>
          <w:sz w:val="32"/>
          <w:szCs w:val="32"/>
        </w:rPr>
        <w:t>P</w:t>
      </w:r>
      <w:r w:rsidR="008931E8" w:rsidRPr="008931E8">
        <w:rPr>
          <w:rFonts w:ascii="Cambria" w:hAnsi="Cambria"/>
          <w:color w:val="C0504D" w:themeColor="accent2"/>
          <w:sz w:val="32"/>
          <w:szCs w:val="32"/>
        </w:rPr>
        <w:t>ass</w:t>
      </w:r>
      <w:r w:rsidRPr="008931E8">
        <w:rPr>
          <w:rFonts w:ascii="Cambria" w:hAnsi="Cambria"/>
          <w:color w:val="C0504D" w:themeColor="accent2"/>
          <w:sz w:val="32"/>
          <w:szCs w:val="32"/>
        </w:rPr>
        <w:t xml:space="preserve"> a Lie Detector Test </w:t>
      </w:r>
    </w:p>
    <w:p w:rsidR="005123CD" w:rsidRPr="005123CD" w:rsidRDefault="008931E8" w:rsidP="008931E8">
      <w:pPr>
        <w:pStyle w:val="NormalWeb"/>
        <w:jc w:val="both"/>
      </w:pPr>
      <w:r>
        <w:rPr>
          <w:rFonts w:ascii="Cambria" w:hAnsi="Cambria"/>
          <w:sz w:val="24"/>
          <w:szCs w:val="24"/>
        </w:rPr>
        <w:t>Alienated</w:t>
      </w:r>
      <w:r w:rsidR="004553D3">
        <w:rPr>
          <w:rFonts w:ascii="Cambria" w:hAnsi="Cambria"/>
          <w:sz w:val="24"/>
          <w:szCs w:val="24"/>
        </w:rPr>
        <w:t xml:space="preserve"> children </w:t>
      </w:r>
      <w:r w:rsidR="004553D3" w:rsidRPr="008931E8">
        <w:rPr>
          <w:rFonts w:ascii="Cambria" w:hAnsi="Cambria"/>
          <w:bCs/>
          <w:i/>
          <w:sz w:val="24"/>
          <w:szCs w:val="24"/>
        </w:rPr>
        <w:t>BELIEVE</w:t>
      </w:r>
      <w:r w:rsidR="004553D3">
        <w:rPr>
          <w:rFonts w:ascii="Cambria" w:hAnsi="Cambria"/>
          <w:b/>
          <w:bCs/>
          <w:sz w:val="24"/>
          <w:szCs w:val="24"/>
        </w:rPr>
        <w:t xml:space="preserve"> </w:t>
      </w:r>
      <w:r w:rsidR="004553D3">
        <w:rPr>
          <w:rFonts w:ascii="Cambria" w:hAnsi="Cambria"/>
          <w:sz w:val="24"/>
          <w:szCs w:val="24"/>
        </w:rPr>
        <w:t>the frivolous, malicious,</w:t>
      </w:r>
      <w:r>
        <w:rPr>
          <w:rFonts w:ascii="Cambria" w:hAnsi="Cambria"/>
          <w:sz w:val="24"/>
          <w:szCs w:val="24"/>
        </w:rPr>
        <w:t xml:space="preserve"> and</w:t>
      </w:r>
      <w:r w:rsidR="004553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pejorative</w:t>
      </w:r>
      <w:r w:rsidR="004553D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rationalizations </w:t>
      </w:r>
      <w:r w:rsidR="004553D3">
        <w:rPr>
          <w:rFonts w:ascii="Cambria" w:hAnsi="Cambria"/>
          <w:sz w:val="24"/>
          <w:szCs w:val="24"/>
        </w:rPr>
        <w:t xml:space="preserve">they concoct against their </w:t>
      </w:r>
      <w:r>
        <w:rPr>
          <w:rFonts w:ascii="Cambria" w:hAnsi="Cambria"/>
          <w:sz w:val="24"/>
          <w:szCs w:val="24"/>
        </w:rPr>
        <w:t>rejected</w:t>
      </w:r>
      <w:r w:rsidR="004553D3">
        <w:rPr>
          <w:rFonts w:ascii="Cambria" w:hAnsi="Cambria"/>
          <w:sz w:val="24"/>
          <w:szCs w:val="24"/>
        </w:rPr>
        <w:t xml:space="preserve"> parent. </w:t>
      </w:r>
      <w:r>
        <w:rPr>
          <w:rFonts w:ascii="Cambria" w:hAnsi="Cambria"/>
          <w:sz w:val="24"/>
          <w:szCs w:val="24"/>
        </w:rPr>
        <w:t xml:space="preserve">Just </w:t>
      </w:r>
      <w:r w:rsidR="000F499B">
        <w:rPr>
          <w:rFonts w:ascii="Cambria" w:hAnsi="Cambria"/>
          <w:sz w:val="24"/>
          <w:szCs w:val="24"/>
        </w:rPr>
        <w:t>reiterate</w:t>
      </w:r>
      <w:r>
        <w:rPr>
          <w:rFonts w:ascii="Cambria" w:hAnsi="Cambria"/>
          <w:sz w:val="24"/>
          <w:szCs w:val="24"/>
        </w:rPr>
        <w:t xml:space="preserve"> a lie </w:t>
      </w:r>
      <w:r w:rsidR="005123CD">
        <w:rPr>
          <w:rFonts w:ascii="Cambria" w:hAnsi="Cambria"/>
          <w:sz w:val="24"/>
          <w:szCs w:val="24"/>
        </w:rPr>
        <w:t>frequently</w:t>
      </w:r>
      <w:r>
        <w:rPr>
          <w:rFonts w:ascii="Cambria" w:hAnsi="Cambria"/>
          <w:sz w:val="24"/>
          <w:szCs w:val="24"/>
        </w:rPr>
        <w:t xml:space="preserve"> enough</w:t>
      </w:r>
      <w:r w:rsidR="005123CD"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sz w:val="24"/>
          <w:szCs w:val="24"/>
        </w:rPr>
        <w:t xml:space="preserve">eventually it </w:t>
      </w:r>
      <w:r w:rsidR="000F499B">
        <w:rPr>
          <w:rFonts w:ascii="Cambria" w:hAnsi="Cambria"/>
          <w:sz w:val="24"/>
          <w:szCs w:val="24"/>
        </w:rPr>
        <w:t>morphs into</w:t>
      </w:r>
      <w:r>
        <w:rPr>
          <w:rFonts w:ascii="Cambria" w:hAnsi="Cambria"/>
          <w:sz w:val="24"/>
          <w:szCs w:val="24"/>
        </w:rPr>
        <w:t xml:space="preserve"> a</w:t>
      </w:r>
      <w:r w:rsidR="005123CD">
        <w:rPr>
          <w:rFonts w:ascii="Cambria" w:hAnsi="Cambria"/>
          <w:sz w:val="24"/>
          <w:szCs w:val="24"/>
        </w:rPr>
        <w:t xml:space="preserve"> tenacious</w:t>
      </w:r>
      <w:r>
        <w:rPr>
          <w:rFonts w:ascii="Cambria" w:hAnsi="Cambria"/>
          <w:sz w:val="24"/>
          <w:szCs w:val="24"/>
        </w:rPr>
        <w:t xml:space="preserve"> belief. </w:t>
      </w:r>
      <w:r w:rsidR="004553D3">
        <w:rPr>
          <w:rFonts w:ascii="Cambria" w:hAnsi="Cambria"/>
          <w:sz w:val="24"/>
          <w:szCs w:val="24"/>
        </w:rPr>
        <w:t xml:space="preserve">I </w:t>
      </w:r>
      <w:r>
        <w:rPr>
          <w:rFonts w:ascii="Cambria" w:hAnsi="Cambria"/>
          <w:sz w:val="24"/>
          <w:szCs w:val="24"/>
        </w:rPr>
        <w:t xml:space="preserve">have no </w:t>
      </w:r>
      <w:r w:rsidR="000F499B">
        <w:rPr>
          <w:rFonts w:ascii="Cambria" w:hAnsi="Cambria"/>
          <w:sz w:val="24"/>
          <w:szCs w:val="24"/>
        </w:rPr>
        <w:t>doubt</w:t>
      </w:r>
      <w:r w:rsidR="004553D3">
        <w:rPr>
          <w:rFonts w:ascii="Cambria" w:hAnsi="Cambria"/>
          <w:sz w:val="24"/>
          <w:szCs w:val="24"/>
        </w:rPr>
        <w:t xml:space="preserve"> that </w:t>
      </w:r>
      <w:r w:rsidR="000F499B">
        <w:rPr>
          <w:rFonts w:ascii="Cambria" w:hAnsi="Cambria"/>
          <w:sz w:val="24"/>
          <w:szCs w:val="24"/>
        </w:rPr>
        <w:t>alienated</w:t>
      </w:r>
      <w:r>
        <w:rPr>
          <w:rFonts w:ascii="Cambria" w:hAnsi="Cambria"/>
          <w:sz w:val="24"/>
          <w:szCs w:val="24"/>
        </w:rPr>
        <w:t xml:space="preserve"> children</w:t>
      </w:r>
      <w:r w:rsidR="004553D3">
        <w:rPr>
          <w:rFonts w:ascii="Cambria" w:hAnsi="Cambria"/>
          <w:sz w:val="24"/>
          <w:szCs w:val="24"/>
        </w:rPr>
        <w:t xml:space="preserve"> can pass any lie detector test without batting an eyelash.</w:t>
      </w:r>
      <w:r w:rsidR="00B85A85">
        <w:rPr>
          <w:rFonts w:ascii="Cambria" w:hAnsi="Cambria"/>
          <w:sz w:val="24"/>
          <w:szCs w:val="24"/>
        </w:rPr>
        <w:t xml:space="preserve"> (Gottlieb, 2012.)</w:t>
      </w:r>
      <w:r w:rsidR="004553D3">
        <w:rPr>
          <w:rFonts w:ascii="Cambria" w:hAnsi="Cambria"/>
          <w:sz w:val="24"/>
          <w:szCs w:val="24"/>
        </w:rPr>
        <w:t xml:space="preserve"> </w:t>
      </w:r>
      <w:r w:rsidR="005123CD">
        <w:rPr>
          <w:rFonts w:ascii="Cambria" w:hAnsi="Cambria"/>
          <w:sz w:val="24"/>
          <w:szCs w:val="24"/>
        </w:rPr>
        <w:t>And actually, “without batting an eyelash” carries a good deal of meaning in these cases because the specialist in alienation recognizes many cues—frequently unnoticed by the non-specialist in alienation cases—in</w:t>
      </w:r>
      <w:r w:rsidR="000F499B">
        <w:rPr>
          <w:rFonts w:ascii="Cambria" w:hAnsi="Cambria"/>
          <w:sz w:val="24"/>
          <w:szCs w:val="24"/>
        </w:rPr>
        <w:t xml:space="preserve"> the child’s</w:t>
      </w:r>
      <w:r w:rsidR="005123CD">
        <w:rPr>
          <w:rFonts w:ascii="Cambria" w:hAnsi="Cambria"/>
          <w:sz w:val="24"/>
          <w:szCs w:val="24"/>
        </w:rPr>
        <w:t xml:space="preserve"> body language and affect </w:t>
      </w:r>
      <w:r w:rsidR="000F499B">
        <w:rPr>
          <w:rFonts w:ascii="Cambria" w:hAnsi="Cambria"/>
          <w:sz w:val="24"/>
          <w:szCs w:val="24"/>
        </w:rPr>
        <w:t>that</w:t>
      </w:r>
      <w:r w:rsidR="005123CD">
        <w:rPr>
          <w:rFonts w:ascii="Cambria" w:hAnsi="Cambria"/>
          <w:sz w:val="24"/>
          <w:szCs w:val="24"/>
        </w:rPr>
        <w:t xml:space="preserve"> belie the lie!</w:t>
      </w:r>
    </w:p>
    <w:p w:rsidR="00806B2C" w:rsidRDefault="005123CD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Seeing is </w:t>
      </w:r>
      <w:proofErr w:type="gramStart"/>
      <w:r>
        <w:rPr>
          <w:rFonts w:ascii="Cambria" w:hAnsi="Cambria"/>
          <w:sz w:val="24"/>
          <w:szCs w:val="24"/>
        </w:rPr>
        <w:t>believing</w:t>
      </w:r>
      <w:proofErr w:type="gramEnd"/>
      <w:r>
        <w:rPr>
          <w:rFonts w:ascii="Cambria" w:hAnsi="Cambria"/>
          <w:sz w:val="24"/>
          <w:szCs w:val="24"/>
        </w:rPr>
        <w:t>: alienated children</w:t>
      </w:r>
      <w:r w:rsidR="008931E8">
        <w:rPr>
          <w:rFonts w:ascii="Cambria" w:hAnsi="Cambria"/>
          <w:sz w:val="24"/>
          <w:szCs w:val="24"/>
        </w:rPr>
        <w:t xml:space="preserve"> sound so credible, especially to the non-specialist in alienation. </w:t>
      </w:r>
      <w:proofErr w:type="gramStart"/>
      <w:r w:rsidR="00806B2C">
        <w:rPr>
          <w:rFonts w:ascii="Cambria" w:hAnsi="Cambria"/>
          <w:sz w:val="24"/>
          <w:szCs w:val="24"/>
        </w:rPr>
        <w:t>This is one very crucial</w:t>
      </w:r>
      <w:r w:rsidR="000F499B">
        <w:rPr>
          <w:rFonts w:ascii="Cambria" w:hAnsi="Cambria"/>
          <w:sz w:val="24"/>
          <w:szCs w:val="24"/>
        </w:rPr>
        <w:t xml:space="preserve"> reason </w:t>
      </w:r>
      <w:r w:rsidR="00806B2C">
        <w:rPr>
          <w:rFonts w:ascii="Cambria" w:hAnsi="Cambria"/>
          <w:sz w:val="24"/>
          <w:szCs w:val="24"/>
        </w:rPr>
        <w:t xml:space="preserve">for </w:t>
      </w:r>
      <w:r w:rsidR="000F499B">
        <w:rPr>
          <w:rFonts w:ascii="Cambria" w:hAnsi="Cambria"/>
          <w:sz w:val="24"/>
          <w:szCs w:val="24"/>
        </w:rPr>
        <w:t xml:space="preserve">the </w:t>
      </w:r>
      <w:r w:rsidR="00806B2C">
        <w:rPr>
          <w:rFonts w:ascii="Cambria" w:hAnsi="Cambria"/>
          <w:sz w:val="24"/>
          <w:szCs w:val="24"/>
        </w:rPr>
        <w:t>mental health professional and for the attorney for the child</w:t>
      </w:r>
      <w:r w:rsidR="000F499B">
        <w:rPr>
          <w:rFonts w:ascii="Cambria" w:hAnsi="Cambria"/>
          <w:sz w:val="24"/>
          <w:szCs w:val="24"/>
        </w:rPr>
        <w:t xml:space="preserve"> </w:t>
      </w:r>
      <w:r w:rsidR="000F499B" w:rsidRPr="00806B2C">
        <w:rPr>
          <w:rFonts w:ascii="Cambria" w:hAnsi="Cambria"/>
          <w:i/>
          <w:sz w:val="24"/>
          <w:szCs w:val="24"/>
        </w:rPr>
        <w:t>not rely</w:t>
      </w:r>
      <w:proofErr w:type="gramEnd"/>
      <w:r w:rsidR="000F499B" w:rsidRPr="00806B2C">
        <w:rPr>
          <w:rFonts w:ascii="Cambria" w:hAnsi="Cambria"/>
          <w:i/>
          <w:sz w:val="24"/>
          <w:szCs w:val="24"/>
        </w:rPr>
        <w:t xml:space="preserve"> exclusively on the child’s interview</w:t>
      </w:r>
      <w:r w:rsidR="000F499B">
        <w:rPr>
          <w:rFonts w:ascii="Cambria" w:hAnsi="Cambria"/>
          <w:sz w:val="24"/>
          <w:szCs w:val="24"/>
        </w:rPr>
        <w:t xml:space="preserve"> to assess the explanation for the parental rejection. Without adequate pattern recognition </w:t>
      </w:r>
      <w:r w:rsidR="00806B2C">
        <w:rPr>
          <w:rFonts w:ascii="Cambria" w:hAnsi="Cambria"/>
          <w:sz w:val="24"/>
          <w:szCs w:val="24"/>
        </w:rPr>
        <w:t>for</w:t>
      </w:r>
      <w:r w:rsidR="000F499B">
        <w:rPr>
          <w:rFonts w:ascii="Cambria" w:hAnsi="Cambria"/>
          <w:sz w:val="24"/>
          <w:szCs w:val="24"/>
        </w:rPr>
        <w:t xml:space="preserve"> an alienated child—pattern recognition that should be based </w:t>
      </w:r>
      <w:r w:rsidR="00806B2C">
        <w:rPr>
          <w:rFonts w:ascii="Cambria" w:hAnsi="Cambria"/>
          <w:sz w:val="24"/>
          <w:szCs w:val="24"/>
        </w:rPr>
        <w:t>upon</w:t>
      </w:r>
      <w:r w:rsidR="000F499B">
        <w:rPr>
          <w:rFonts w:ascii="Cambria" w:hAnsi="Cambria"/>
          <w:sz w:val="24"/>
          <w:szCs w:val="24"/>
        </w:rPr>
        <w:t xml:space="preserve"> hundreds of </w:t>
      </w:r>
      <w:r w:rsidR="00806B2C">
        <w:rPr>
          <w:rFonts w:ascii="Cambria" w:hAnsi="Cambria"/>
          <w:sz w:val="24"/>
          <w:szCs w:val="24"/>
        </w:rPr>
        <w:t>bona fide</w:t>
      </w:r>
      <w:r w:rsidR="000F499B">
        <w:rPr>
          <w:rFonts w:ascii="Cambria" w:hAnsi="Cambria"/>
          <w:sz w:val="24"/>
          <w:szCs w:val="24"/>
        </w:rPr>
        <w:t xml:space="preserve"> cases—intuitive reason will </w:t>
      </w:r>
      <w:r w:rsidR="00806B2C">
        <w:rPr>
          <w:rFonts w:ascii="Cambria" w:hAnsi="Cambria"/>
          <w:sz w:val="24"/>
          <w:szCs w:val="24"/>
        </w:rPr>
        <w:t>fail to yield an</w:t>
      </w:r>
      <w:r w:rsidR="000F499B">
        <w:rPr>
          <w:rFonts w:ascii="Cambria" w:hAnsi="Cambria"/>
          <w:sz w:val="24"/>
          <w:szCs w:val="24"/>
        </w:rPr>
        <w:t xml:space="preserve"> accurate diagnosis. Quite the opposite: the non-specialist in alienation will likely fall prey to the many counter-intuitive issues that occur in alienation cases. (I have posted a separate article on this website describing a</w:t>
      </w:r>
      <w:r w:rsidR="00806B2C">
        <w:rPr>
          <w:rFonts w:ascii="Cambria" w:hAnsi="Cambria"/>
          <w:sz w:val="24"/>
          <w:szCs w:val="24"/>
        </w:rPr>
        <w:t xml:space="preserve"> mere</w:t>
      </w:r>
      <w:r w:rsidR="000F499B">
        <w:rPr>
          <w:rFonts w:ascii="Cambria" w:hAnsi="Cambria"/>
          <w:sz w:val="24"/>
          <w:szCs w:val="24"/>
        </w:rPr>
        <w:t xml:space="preserve"> </w:t>
      </w:r>
      <w:r w:rsidR="00806B2C">
        <w:rPr>
          <w:rFonts w:ascii="Cambria" w:hAnsi="Cambria"/>
          <w:sz w:val="24"/>
          <w:szCs w:val="24"/>
        </w:rPr>
        <w:t>fraction</w:t>
      </w:r>
      <w:r w:rsidR="000F499B">
        <w:rPr>
          <w:rFonts w:ascii="Cambria" w:hAnsi="Cambria"/>
          <w:sz w:val="24"/>
          <w:szCs w:val="24"/>
        </w:rPr>
        <w:t xml:space="preserve"> of the</w:t>
      </w:r>
      <w:r w:rsidR="00806B2C">
        <w:rPr>
          <w:rFonts w:ascii="Cambria" w:hAnsi="Cambria"/>
          <w:sz w:val="24"/>
          <w:szCs w:val="24"/>
        </w:rPr>
        <w:t>se</w:t>
      </w:r>
      <w:r w:rsidR="000F499B">
        <w:rPr>
          <w:rFonts w:ascii="Cambria" w:hAnsi="Cambria"/>
          <w:sz w:val="24"/>
          <w:szCs w:val="24"/>
        </w:rPr>
        <w:t xml:space="preserve"> counterintuitive issues</w:t>
      </w:r>
      <w:r w:rsidR="00806B2C">
        <w:rPr>
          <w:rFonts w:ascii="Cambria" w:hAnsi="Cambria"/>
          <w:sz w:val="24"/>
          <w:szCs w:val="24"/>
        </w:rPr>
        <w:t xml:space="preserve">.) </w:t>
      </w:r>
    </w:p>
    <w:p w:rsidR="00036387" w:rsidRDefault="00036387" w:rsidP="00036387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is it that alienated children can pass a lie detector test? To begin with, these children must create an elaborate system of negativity about their rejected parent in order to overcome the powerful instinct to love and need a parent. I learned from my work with 3000 foster children, who had been removed from their homes due to adjudicated abuse and neglect, just how powerful is the instinct to have a parent in one’s life. It was a rare foster child, indeed, who rejected a parent</w:t>
      </w:r>
      <w:r w:rsidR="002B093E">
        <w:rPr>
          <w:rFonts w:ascii="Cambria" w:hAnsi="Cambria"/>
          <w:sz w:val="24"/>
          <w:szCs w:val="24"/>
        </w:rPr>
        <w:t xml:space="preserve"> and refused contact</w:t>
      </w:r>
      <w:r>
        <w:rPr>
          <w:rFonts w:ascii="Cambria" w:hAnsi="Cambria"/>
          <w:sz w:val="24"/>
          <w:szCs w:val="24"/>
        </w:rPr>
        <w:t>. Based on this experience, I have concluded that the instinct for the relationship with a parent is superseded only by the instinct for survival and the instinct to protect one’s young.</w:t>
      </w:r>
    </w:p>
    <w:p w:rsidR="00036387" w:rsidRDefault="00036387" w:rsidP="00036387">
      <w:pPr>
        <w:pStyle w:val="NormalWeb"/>
        <w:jc w:val="both"/>
      </w:pPr>
      <w:r>
        <w:rPr>
          <w:rFonts w:ascii="Cambria" w:hAnsi="Cambria"/>
          <w:sz w:val="24"/>
          <w:szCs w:val="24"/>
        </w:rPr>
        <w:t xml:space="preserve"> </w:t>
      </w:r>
      <w:r w:rsidR="002B093E">
        <w:rPr>
          <w:rFonts w:ascii="Cambria" w:hAnsi="Cambria"/>
          <w:sz w:val="24"/>
          <w:szCs w:val="24"/>
        </w:rPr>
        <w:t>In order, therefore, to overcome the powerful instinct for a relationship with a parent, a</w:t>
      </w:r>
      <w:r>
        <w:rPr>
          <w:rFonts w:ascii="Cambria" w:hAnsi="Cambria"/>
          <w:sz w:val="24"/>
          <w:szCs w:val="24"/>
        </w:rPr>
        <w:t xml:space="preserve"> child’s rationales </w:t>
      </w:r>
      <w:r w:rsidR="002B093E">
        <w:rPr>
          <w:rFonts w:ascii="Cambria" w:hAnsi="Cambria"/>
          <w:sz w:val="24"/>
          <w:szCs w:val="24"/>
        </w:rPr>
        <w:t>to reject a parent—particularly a fit parent—must be</w:t>
      </w:r>
      <w:r>
        <w:rPr>
          <w:rFonts w:ascii="Cambria" w:hAnsi="Cambria"/>
          <w:sz w:val="24"/>
          <w:szCs w:val="24"/>
        </w:rPr>
        <w:t xml:space="preserve"> grounded in a delusional</w:t>
      </w:r>
      <w:r w:rsidR="002B093E">
        <w:rPr>
          <w:rFonts w:ascii="Cambria" w:hAnsi="Cambria"/>
          <w:sz w:val="24"/>
          <w:szCs w:val="24"/>
        </w:rPr>
        <w:t xml:space="preserve"> cognitive</w:t>
      </w:r>
      <w:r>
        <w:rPr>
          <w:rFonts w:ascii="Cambria" w:hAnsi="Cambria"/>
          <w:sz w:val="24"/>
          <w:szCs w:val="24"/>
        </w:rPr>
        <w:t xml:space="preserve"> system. Think about it:</w:t>
      </w:r>
      <w:r w:rsidRPr="008D77C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how else can the rejection</w:t>
      </w:r>
      <w:r w:rsidR="002B093E"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a competent, loving, supportive, and involved parent be justified? This </w:t>
      </w:r>
      <w:r w:rsidR="002B093E">
        <w:rPr>
          <w:rFonts w:ascii="Cambria" w:hAnsi="Cambria"/>
          <w:sz w:val="24"/>
          <w:szCs w:val="24"/>
        </w:rPr>
        <w:t xml:space="preserve">development is </w:t>
      </w:r>
      <w:r>
        <w:rPr>
          <w:rFonts w:ascii="Cambria" w:hAnsi="Cambria"/>
          <w:sz w:val="24"/>
          <w:szCs w:val="24"/>
        </w:rPr>
        <w:t>one</w:t>
      </w:r>
      <w:r w:rsidR="002B093E">
        <w:rPr>
          <w:rFonts w:ascii="Cambria" w:hAnsi="Cambria"/>
          <w:sz w:val="24"/>
          <w:szCs w:val="24"/>
        </w:rPr>
        <w:t xml:space="preserve"> of many</w:t>
      </w:r>
      <w:r>
        <w:rPr>
          <w:rFonts w:ascii="Cambria" w:hAnsi="Cambria"/>
          <w:sz w:val="24"/>
          <w:szCs w:val="24"/>
        </w:rPr>
        <w:t xml:space="preserve"> reason</w:t>
      </w:r>
      <w:r w:rsidR="002B093E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why alienation is a terrible form of psychological child abuse: </w:t>
      </w:r>
      <w:r w:rsidR="002B093E">
        <w:rPr>
          <w:rFonts w:ascii="Cambria" w:hAnsi="Cambria"/>
          <w:sz w:val="24"/>
          <w:szCs w:val="24"/>
        </w:rPr>
        <w:t>delusional thinking is a form of psychosis</w:t>
      </w:r>
      <w:r>
        <w:rPr>
          <w:rFonts w:ascii="Cambria" w:hAnsi="Cambria"/>
          <w:sz w:val="24"/>
          <w:szCs w:val="24"/>
        </w:rPr>
        <w:t>!</w:t>
      </w:r>
    </w:p>
    <w:p w:rsidR="00036387" w:rsidRDefault="00036387" w:rsidP="00036387">
      <w:pPr>
        <w:pStyle w:val="NormalWeb"/>
        <w:jc w:val="both"/>
      </w:pPr>
      <w:r>
        <w:rPr>
          <w:rFonts w:ascii="Cambria" w:hAnsi="Cambria"/>
          <w:sz w:val="24"/>
          <w:szCs w:val="24"/>
        </w:rPr>
        <w:t>The question then becomes why and how a child is so susceptible to</w:t>
      </w:r>
      <w:r w:rsidR="002B093E">
        <w:rPr>
          <w:rFonts w:ascii="Cambria" w:hAnsi="Cambria"/>
          <w:sz w:val="24"/>
          <w:szCs w:val="24"/>
        </w:rPr>
        <w:t xml:space="preserve"> parental influence—actually referred to as</w:t>
      </w:r>
      <w:r>
        <w:rPr>
          <w:rFonts w:ascii="Cambria" w:hAnsi="Cambria"/>
          <w:sz w:val="24"/>
          <w:szCs w:val="24"/>
        </w:rPr>
        <w:t xml:space="preserve"> “brainwashing” in the 2013 book by Clawar and Rivlin entitled, </w:t>
      </w:r>
      <w:r w:rsidRPr="00E14A20">
        <w:rPr>
          <w:rFonts w:ascii="Cambria" w:hAnsi="Cambria"/>
          <w:i/>
          <w:sz w:val="24"/>
          <w:szCs w:val="24"/>
        </w:rPr>
        <w:t>Children Held Hostage: Dealing with Programmed and Brainwashed Children,</w:t>
      </w:r>
      <w:r>
        <w:rPr>
          <w:rFonts w:ascii="Cambria" w:hAnsi="Cambria"/>
          <w:sz w:val="24"/>
          <w:szCs w:val="24"/>
        </w:rPr>
        <w:t xml:space="preserve"> published by the American Bar Association. The answer is a “no-brainer”: it is virtually impossible for children to contradict and rebel against a parent, upon whom they are so dependent and from whom they seek love and approval. </w:t>
      </w:r>
      <w:r w:rsidR="002B093E">
        <w:rPr>
          <w:rFonts w:ascii="Cambria" w:hAnsi="Cambria"/>
          <w:sz w:val="24"/>
          <w:szCs w:val="24"/>
        </w:rPr>
        <w:t xml:space="preserve">Before </w:t>
      </w:r>
      <w:r w:rsidR="002B093E">
        <w:rPr>
          <w:rFonts w:ascii="Cambria" w:hAnsi="Cambria"/>
          <w:sz w:val="24"/>
          <w:szCs w:val="24"/>
        </w:rPr>
        <w:lastRenderedPageBreak/>
        <w:t>the rejected parent has the slightest comprehension of what has happened to the relationship with her/his beloved child, tremendous damage has been effectuated.</w:t>
      </w:r>
    </w:p>
    <w:p w:rsidR="00036387" w:rsidRDefault="00036387" w:rsidP="00036387">
      <w:pPr>
        <w:pStyle w:val="NormalWeb"/>
        <w:jc w:val="both"/>
      </w:pPr>
      <w:r>
        <w:rPr>
          <w:rFonts w:ascii="Cambria" w:hAnsi="Cambria"/>
          <w:sz w:val="24"/>
          <w:szCs w:val="24"/>
        </w:rPr>
        <w:t xml:space="preserve">Let us not forget the sagacious comments of Christopher Barden, Ph.D., J.D., LP, (2006) psychologist and attorney, having received two national research awards in psychology and a law degree with honors from Harvard Law School: </w:t>
      </w:r>
    </w:p>
    <w:p w:rsidR="00036387" w:rsidRDefault="00036387" w:rsidP="00036387">
      <w:pPr>
        <w:pStyle w:val="NormalWeb"/>
        <w:ind w:left="720"/>
      </w:pPr>
      <w:r>
        <w:rPr>
          <w:rFonts w:ascii="Cambria" w:hAnsi="Cambria"/>
          <w:sz w:val="24"/>
          <w:szCs w:val="24"/>
        </w:rPr>
        <w:t>“There can be no credible controversy about the power of parents to influence children.” (P.420)</w:t>
      </w:r>
    </w:p>
    <w:p w:rsidR="00036387" w:rsidRDefault="00036387" w:rsidP="00036387">
      <w:pPr>
        <w:pStyle w:val="NormalWeb"/>
      </w:pPr>
      <w:r>
        <w:rPr>
          <w:rFonts w:ascii="Cambria" w:hAnsi="Cambria"/>
          <w:sz w:val="24"/>
          <w:szCs w:val="24"/>
        </w:rPr>
        <w:t xml:space="preserve">Dr. Barden further challenged every professional who intervenes in child custody cases to recognize </w:t>
      </w:r>
      <w:proofErr w:type="gramStart"/>
      <w:r>
        <w:rPr>
          <w:rFonts w:ascii="Cambria" w:hAnsi="Cambria"/>
          <w:sz w:val="24"/>
          <w:szCs w:val="24"/>
        </w:rPr>
        <w:t>their</w:t>
      </w:r>
      <w:proofErr w:type="gramEnd"/>
      <w:r>
        <w:rPr>
          <w:rFonts w:ascii="Cambria" w:hAnsi="Cambria"/>
          <w:sz w:val="24"/>
          <w:szCs w:val="24"/>
        </w:rPr>
        <w:t xml:space="preserve">: </w:t>
      </w:r>
    </w:p>
    <w:p w:rsidR="00036387" w:rsidRPr="00036387" w:rsidRDefault="00036387" w:rsidP="00036387">
      <w:pPr>
        <w:pStyle w:val="NormalWeb"/>
        <w:ind w:left="720"/>
      </w:pPr>
      <w:proofErr w:type="gramStart"/>
      <w:r>
        <w:rPr>
          <w:rFonts w:ascii="Cambria" w:hAnsi="Cambria"/>
          <w:sz w:val="24"/>
          <w:szCs w:val="24"/>
        </w:rPr>
        <w:t>critical</w:t>
      </w:r>
      <w:proofErr w:type="gramEnd"/>
      <w:r>
        <w:rPr>
          <w:rFonts w:ascii="Cambria" w:hAnsi="Cambria"/>
          <w:sz w:val="24"/>
          <w:szCs w:val="24"/>
        </w:rPr>
        <w:t xml:space="preserve"> obligation to carefully review the influence of parents, therapists or other adults on the attitudes, beliefs and memories of children.” (P. 420)</w:t>
      </w:r>
    </w:p>
    <w:p w:rsidR="00F5329F" w:rsidRDefault="00806B2C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Therefore, it behooves the professional who intervenes in cases of parental rejection to undertake a thorough investigation of the family history and</w:t>
      </w:r>
      <w:r w:rsidR="00036387">
        <w:rPr>
          <w:rFonts w:ascii="Cambria" w:hAnsi="Cambria"/>
          <w:sz w:val="24"/>
          <w:szCs w:val="24"/>
        </w:rPr>
        <w:t xml:space="preserve"> to</w:t>
      </w:r>
      <w:r>
        <w:rPr>
          <w:rFonts w:ascii="Cambria" w:hAnsi="Cambria"/>
          <w:sz w:val="24"/>
          <w:szCs w:val="24"/>
        </w:rPr>
        <w:t xml:space="preserve"> adhere to the standards of good clinical practice. </w:t>
      </w:r>
    </w:p>
    <w:p w:rsidR="00F5329F" w:rsidRDefault="00806B2C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am going to cite here a few axioms of good clinical practice cited from the work of Steven Miller, MD</w:t>
      </w:r>
      <w:r w:rsidR="003B6A75">
        <w:rPr>
          <w:rFonts w:ascii="Cambria" w:hAnsi="Cambria"/>
          <w:sz w:val="24"/>
          <w:szCs w:val="24"/>
        </w:rPr>
        <w:t xml:space="preserve"> in his chapter entitled, “Clinical </w:t>
      </w:r>
      <w:r w:rsidR="00036387">
        <w:rPr>
          <w:rFonts w:ascii="Cambria" w:hAnsi="Cambria"/>
          <w:sz w:val="24"/>
          <w:szCs w:val="24"/>
        </w:rPr>
        <w:t>R</w:t>
      </w:r>
      <w:r w:rsidR="003B6A75">
        <w:rPr>
          <w:rFonts w:ascii="Cambria" w:hAnsi="Cambria"/>
          <w:sz w:val="24"/>
          <w:szCs w:val="24"/>
        </w:rPr>
        <w:t>easoning and Decision Making in Case</w:t>
      </w:r>
      <w:r w:rsidR="00036387">
        <w:rPr>
          <w:rFonts w:ascii="Cambria" w:hAnsi="Cambria"/>
          <w:sz w:val="24"/>
          <w:szCs w:val="24"/>
        </w:rPr>
        <w:t>s</w:t>
      </w:r>
      <w:r w:rsidR="003B6A75">
        <w:rPr>
          <w:rFonts w:ascii="Cambria" w:hAnsi="Cambria"/>
          <w:sz w:val="24"/>
          <w:szCs w:val="24"/>
        </w:rPr>
        <w:t xml:space="preserve"> of Child Alignment,” in the 2013 book entitled, </w:t>
      </w:r>
      <w:r w:rsidR="003B6A75" w:rsidRPr="003B6A75">
        <w:rPr>
          <w:rFonts w:ascii="Cambria" w:hAnsi="Cambria"/>
          <w:i/>
          <w:sz w:val="24"/>
          <w:szCs w:val="24"/>
        </w:rPr>
        <w:t>Working with Alienated Children and Families,</w:t>
      </w:r>
      <w:r w:rsidR="003B6A75">
        <w:rPr>
          <w:rFonts w:ascii="Cambria" w:hAnsi="Cambria"/>
          <w:sz w:val="24"/>
          <w:szCs w:val="24"/>
        </w:rPr>
        <w:t xml:space="preserve"> edited by Baker and Sauber.</w:t>
      </w:r>
    </w:p>
    <w:p w:rsidR="00F5329F" w:rsidRDefault="003B6A75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first clinical axiom is to “</w:t>
      </w:r>
      <w:r w:rsidR="00F5329F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 xml:space="preserve">onsider the total clinical picture.” This means that the clinical findings must be analyzed in the family context. For example, it is essential to evaluate the parent-child relationship </w:t>
      </w:r>
      <w:r w:rsidRPr="00F5329F">
        <w:rPr>
          <w:rFonts w:ascii="Cambria" w:hAnsi="Cambria"/>
          <w:i/>
          <w:sz w:val="24"/>
          <w:szCs w:val="24"/>
        </w:rPr>
        <w:t>prior to</w:t>
      </w:r>
      <w:r>
        <w:rPr>
          <w:rFonts w:ascii="Cambria" w:hAnsi="Cambria"/>
          <w:sz w:val="24"/>
          <w:szCs w:val="24"/>
        </w:rPr>
        <w:t xml:space="preserve"> the onset of the rejection. </w:t>
      </w:r>
      <w:r w:rsidR="00806B2C">
        <w:rPr>
          <w:rFonts w:ascii="Cambria" w:hAnsi="Cambria"/>
          <w:sz w:val="24"/>
          <w:szCs w:val="24"/>
        </w:rPr>
        <w:t xml:space="preserve"> </w:t>
      </w:r>
      <w:r w:rsidR="00F5329F">
        <w:rPr>
          <w:rFonts w:ascii="Cambria" w:hAnsi="Cambria"/>
          <w:sz w:val="24"/>
          <w:szCs w:val="24"/>
        </w:rPr>
        <w:t>(Pp. 17-18.)</w:t>
      </w:r>
    </w:p>
    <w:p w:rsidR="00F5329F" w:rsidRDefault="003B6A75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Another </w:t>
      </w:r>
      <w:r w:rsidR="00806B2C">
        <w:rPr>
          <w:rFonts w:ascii="Cambria" w:hAnsi="Cambria"/>
          <w:sz w:val="24"/>
          <w:szCs w:val="24"/>
        </w:rPr>
        <w:t xml:space="preserve">clinical axiom to </w:t>
      </w:r>
      <w:r>
        <w:rPr>
          <w:rFonts w:ascii="Cambria" w:hAnsi="Cambria"/>
          <w:sz w:val="24"/>
          <w:szCs w:val="24"/>
        </w:rPr>
        <w:t>“</w:t>
      </w:r>
      <w:r w:rsidR="00806B2C">
        <w:rPr>
          <w:rFonts w:ascii="Cambria" w:hAnsi="Cambria"/>
          <w:sz w:val="24"/>
          <w:szCs w:val="24"/>
        </w:rPr>
        <w:t>gather enough evidence</w:t>
      </w:r>
      <w:r>
        <w:rPr>
          <w:rFonts w:ascii="Cambria" w:hAnsi="Cambria"/>
          <w:sz w:val="24"/>
          <w:szCs w:val="24"/>
        </w:rPr>
        <w:t xml:space="preserve">.” For example, collateral information from disinterested parties must be analyzed to </w:t>
      </w:r>
      <w:r w:rsidR="00F5329F">
        <w:rPr>
          <w:rFonts w:ascii="Cambria" w:hAnsi="Cambria"/>
          <w:sz w:val="24"/>
          <w:szCs w:val="24"/>
        </w:rPr>
        <w:t>confirm</w:t>
      </w:r>
      <w:r>
        <w:rPr>
          <w:rFonts w:ascii="Cambria" w:hAnsi="Cambria"/>
          <w:sz w:val="24"/>
          <w:szCs w:val="24"/>
        </w:rPr>
        <w:t xml:space="preserve"> or disconfirm the child’s reports. </w:t>
      </w:r>
      <w:r w:rsidR="00F5329F">
        <w:rPr>
          <w:rFonts w:ascii="Cambria" w:hAnsi="Cambria"/>
          <w:sz w:val="24"/>
          <w:szCs w:val="24"/>
        </w:rPr>
        <w:t>(Pp. 17-18.)</w:t>
      </w:r>
    </w:p>
    <w:p w:rsidR="00F5329F" w:rsidRDefault="003B6A75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Developing an “adequate differential diagnosis” is also essential</w:t>
      </w:r>
      <w:r w:rsidR="00F5329F">
        <w:rPr>
          <w:rFonts w:ascii="Cambria" w:hAnsi="Cambria"/>
          <w:sz w:val="24"/>
          <w:szCs w:val="24"/>
        </w:rPr>
        <w:t xml:space="preserve"> axiom to </w:t>
      </w:r>
      <w:r w:rsidR="00036387">
        <w:rPr>
          <w:rFonts w:ascii="Cambria" w:hAnsi="Cambria"/>
          <w:sz w:val="24"/>
          <w:szCs w:val="24"/>
        </w:rPr>
        <w:t>respect</w:t>
      </w:r>
      <w:r>
        <w:rPr>
          <w:rFonts w:ascii="Cambria" w:hAnsi="Cambria"/>
          <w:sz w:val="24"/>
          <w:szCs w:val="24"/>
        </w:rPr>
        <w:t xml:space="preserve"> but </w:t>
      </w:r>
      <w:r w:rsidR="00F5329F">
        <w:rPr>
          <w:rFonts w:ascii="Cambria" w:hAnsi="Cambria"/>
          <w:sz w:val="24"/>
          <w:szCs w:val="24"/>
        </w:rPr>
        <w:t xml:space="preserve">is </w:t>
      </w:r>
      <w:r>
        <w:rPr>
          <w:rFonts w:ascii="Cambria" w:hAnsi="Cambria"/>
          <w:sz w:val="24"/>
          <w:szCs w:val="24"/>
        </w:rPr>
        <w:t xml:space="preserve">rarely undertaken in these situations. This axiom requires the professional to consider all explanations for the child’s rejection: that is, </w:t>
      </w:r>
      <w:r w:rsidR="00F5329F">
        <w:rPr>
          <w:rFonts w:ascii="Cambria" w:hAnsi="Cambria"/>
          <w:sz w:val="24"/>
          <w:szCs w:val="24"/>
        </w:rPr>
        <w:t xml:space="preserve">pondering if </w:t>
      </w:r>
      <w:r>
        <w:rPr>
          <w:rFonts w:ascii="Cambria" w:hAnsi="Cambria"/>
          <w:sz w:val="24"/>
          <w:szCs w:val="24"/>
        </w:rPr>
        <w:t>the rejection</w:t>
      </w:r>
      <w:r w:rsidR="00F5329F">
        <w:rPr>
          <w:rFonts w:ascii="Cambria" w:hAnsi="Cambria"/>
          <w:sz w:val="24"/>
          <w:szCs w:val="24"/>
        </w:rPr>
        <w:t xml:space="preserve"> is</w:t>
      </w:r>
      <w:r w:rsidR="00036387">
        <w:rPr>
          <w:rFonts w:ascii="Cambria" w:hAnsi="Cambria"/>
          <w:sz w:val="24"/>
          <w:szCs w:val="24"/>
        </w:rPr>
        <w:t xml:space="preserve"> due to alienation;</w:t>
      </w:r>
      <w:r w:rsidR="00F5329F">
        <w:rPr>
          <w:rFonts w:ascii="Cambria" w:hAnsi="Cambria"/>
          <w:sz w:val="24"/>
          <w:szCs w:val="24"/>
        </w:rPr>
        <w:t xml:space="preserve"> to</w:t>
      </w:r>
      <w:r w:rsidR="00036387">
        <w:rPr>
          <w:rFonts w:ascii="Cambria" w:hAnsi="Cambria"/>
          <w:sz w:val="24"/>
          <w:szCs w:val="24"/>
        </w:rPr>
        <w:t xml:space="preserve"> estrangement;</w:t>
      </w:r>
      <w:r>
        <w:rPr>
          <w:rFonts w:ascii="Cambria" w:hAnsi="Cambria"/>
          <w:sz w:val="24"/>
          <w:szCs w:val="24"/>
        </w:rPr>
        <w:t xml:space="preserve"> or</w:t>
      </w:r>
      <w:r w:rsidR="00F5329F">
        <w:rPr>
          <w:rFonts w:ascii="Cambria" w:hAnsi="Cambria"/>
          <w:sz w:val="24"/>
          <w:szCs w:val="24"/>
        </w:rPr>
        <w:t xml:space="preserve"> is</w:t>
      </w:r>
      <w:r>
        <w:rPr>
          <w:rFonts w:ascii="Cambria" w:hAnsi="Cambria"/>
          <w:sz w:val="24"/>
          <w:szCs w:val="24"/>
        </w:rPr>
        <w:t xml:space="preserve"> a hybrid</w:t>
      </w:r>
      <w:r w:rsidR="00F5329F">
        <w:rPr>
          <w:rFonts w:ascii="Cambria" w:hAnsi="Cambria"/>
          <w:sz w:val="24"/>
          <w:szCs w:val="24"/>
        </w:rPr>
        <w:t xml:space="preserve"> case—</w:t>
      </w:r>
      <w:r w:rsidR="00036387">
        <w:rPr>
          <w:rFonts w:ascii="Cambria" w:hAnsi="Cambria"/>
          <w:sz w:val="24"/>
          <w:szCs w:val="24"/>
        </w:rPr>
        <w:t xml:space="preserve">or </w:t>
      </w:r>
      <w:r w:rsidR="00F5329F">
        <w:rPr>
          <w:rFonts w:ascii="Cambria" w:hAnsi="Cambria"/>
          <w:sz w:val="24"/>
          <w:szCs w:val="24"/>
        </w:rPr>
        <w:t>a little of both</w:t>
      </w:r>
      <w:r>
        <w:rPr>
          <w:rFonts w:ascii="Cambria" w:hAnsi="Cambria"/>
          <w:sz w:val="24"/>
          <w:szCs w:val="24"/>
        </w:rPr>
        <w:t>.</w:t>
      </w:r>
      <w:r w:rsidR="004E67E9">
        <w:rPr>
          <w:rFonts w:ascii="Cambria" w:hAnsi="Cambria"/>
          <w:sz w:val="24"/>
          <w:szCs w:val="24"/>
        </w:rPr>
        <w:t xml:space="preserve"> (</w:t>
      </w:r>
      <w:r w:rsidR="00F5329F">
        <w:rPr>
          <w:rFonts w:ascii="Cambria" w:hAnsi="Cambria"/>
          <w:sz w:val="24"/>
          <w:szCs w:val="24"/>
        </w:rPr>
        <w:t>P. 22.)</w:t>
      </w:r>
    </w:p>
    <w:p w:rsidR="000F499B" w:rsidRDefault="003B6A75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F5329F">
        <w:rPr>
          <w:rFonts w:ascii="Cambria" w:hAnsi="Cambria"/>
          <w:sz w:val="24"/>
          <w:szCs w:val="24"/>
        </w:rPr>
        <w:t>If the case is assessed to be</w:t>
      </w:r>
      <w:r>
        <w:rPr>
          <w:rFonts w:ascii="Cambria" w:hAnsi="Cambria"/>
          <w:sz w:val="24"/>
          <w:szCs w:val="24"/>
        </w:rPr>
        <w:t xml:space="preserve"> a hybrid, </w:t>
      </w:r>
      <w:r w:rsidR="00F5329F">
        <w:rPr>
          <w:rFonts w:ascii="Cambria" w:hAnsi="Cambria"/>
          <w:sz w:val="24"/>
          <w:szCs w:val="24"/>
        </w:rPr>
        <w:t>is it necessary to determine</w:t>
      </w:r>
      <w:r>
        <w:rPr>
          <w:rFonts w:ascii="Cambria" w:hAnsi="Cambria"/>
          <w:sz w:val="24"/>
          <w:szCs w:val="24"/>
        </w:rPr>
        <w:t xml:space="preserve"> the </w:t>
      </w:r>
      <w:r w:rsidR="004E67E9">
        <w:rPr>
          <w:rFonts w:ascii="Cambria" w:hAnsi="Cambria"/>
          <w:sz w:val="24"/>
          <w:szCs w:val="24"/>
        </w:rPr>
        <w:t>percent</w:t>
      </w:r>
      <w:r w:rsidR="00036387">
        <w:rPr>
          <w:rFonts w:ascii="Cambria" w:hAnsi="Cambria"/>
          <w:sz w:val="24"/>
          <w:szCs w:val="24"/>
        </w:rPr>
        <w:t>age</w:t>
      </w:r>
      <w:r w:rsidR="004E67E9">
        <w:rPr>
          <w:rFonts w:ascii="Cambria" w:hAnsi="Cambria"/>
          <w:sz w:val="24"/>
          <w:szCs w:val="24"/>
        </w:rPr>
        <w:t xml:space="preserve"> contribut</w:t>
      </w:r>
      <w:r w:rsidR="00036387">
        <w:rPr>
          <w:rFonts w:ascii="Cambria" w:hAnsi="Cambria"/>
          <w:sz w:val="24"/>
          <w:szCs w:val="24"/>
        </w:rPr>
        <w:t>ed</w:t>
      </w:r>
      <w:r w:rsidR="004E67E9">
        <w:rPr>
          <w:rFonts w:ascii="Cambria" w:hAnsi="Cambria"/>
          <w:sz w:val="24"/>
          <w:szCs w:val="24"/>
        </w:rPr>
        <w:t xml:space="preserve"> by </w:t>
      </w:r>
      <w:r w:rsidR="00036387">
        <w:rPr>
          <w:rFonts w:ascii="Cambria" w:hAnsi="Cambria"/>
          <w:sz w:val="24"/>
          <w:szCs w:val="24"/>
        </w:rPr>
        <w:t>each parent.</w:t>
      </w:r>
      <w:r w:rsidR="004E67E9">
        <w:rPr>
          <w:rFonts w:ascii="Cambria" w:hAnsi="Cambria"/>
          <w:sz w:val="24"/>
          <w:szCs w:val="24"/>
        </w:rPr>
        <w:t xml:space="preserve"> In all too many cases, </w:t>
      </w:r>
      <w:r w:rsidR="00036387">
        <w:rPr>
          <w:rFonts w:ascii="Cambria" w:hAnsi="Cambria"/>
          <w:sz w:val="24"/>
          <w:szCs w:val="24"/>
        </w:rPr>
        <w:t>the non-specialist professional concludes, “Both parents contributed—</w:t>
      </w:r>
      <w:r w:rsidR="00036387" w:rsidRPr="004E67E9">
        <w:rPr>
          <w:rFonts w:ascii="Cambria" w:hAnsi="Cambria"/>
          <w:i/>
          <w:sz w:val="24"/>
          <w:szCs w:val="24"/>
        </w:rPr>
        <w:t>equally</w:t>
      </w:r>
      <w:r w:rsidR="00036387">
        <w:rPr>
          <w:rFonts w:ascii="Cambria" w:hAnsi="Cambria"/>
          <w:sz w:val="24"/>
          <w:szCs w:val="24"/>
        </w:rPr>
        <w:t xml:space="preserve">.”  However, </w:t>
      </w:r>
      <w:r w:rsidR="004E67E9">
        <w:rPr>
          <w:rFonts w:ascii="Cambria" w:hAnsi="Cambria"/>
          <w:sz w:val="24"/>
          <w:szCs w:val="24"/>
        </w:rPr>
        <w:t xml:space="preserve">if the rejected parent </w:t>
      </w:r>
      <w:r w:rsidR="00036387">
        <w:rPr>
          <w:rFonts w:ascii="Cambria" w:hAnsi="Cambria"/>
          <w:sz w:val="24"/>
          <w:szCs w:val="24"/>
        </w:rPr>
        <w:t xml:space="preserve">is </w:t>
      </w:r>
      <w:r w:rsidR="004E67E9" w:rsidRPr="00036387">
        <w:rPr>
          <w:rFonts w:ascii="Cambria" w:hAnsi="Cambria"/>
          <w:i/>
          <w:sz w:val="24"/>
          <w:szCs w:val="24"/>
        </w:rPr>
        <w:t>react</w:t>
      </w:r>
      <w:r w:rsidR="00036387">
        <w:rPr>
          <w:rFonts w:ascii="Cambria" w:hAnsi="Cambria"/>
          <w:i/>
          <w:sz w:val="24"/>
          <w:szCs w:val="24"/>
        </w:rPr>
        <w:t>ing</w:t>
      </w:r>
      <w:r w:rsidR="004E67E9">
        <w:rPr>
          <w:rFonts w:ascii="Cambria" w:hAnsi="Cambria"/>
          <w:sz w:val="24"/>
          <w:szCs w:val="24"/>
        </w:rPr>
        <w:t xml:space="preserve"> with anger due to the child’s maltreatment, abuse, and defiance</w:t>
      </w:r>
      <w:r w:rsidR="00036387">
        <w:rPr>
          <w:rFonts w:ascii="Cambria" w:hAnsi="Cambria"/>
          <w:sz w:val="24"/>
          <w:szCs w:val="24"/>
        </w:rPr>
        <w:t>—a very normal human response—this is</w:t>
      </w:r>
      <w:r w:rsidR="004E67E9">
        <w:rPr>
          <w:rFonts w:ascii="Cambria" w:hAnsi="Cambria"/>
          <w:sz w:val="24"/>
          <w:szCs w:val="24"/>
        </w:rPr>
        <w:t xml:space="preserve"> </w:t>
      </w:r>
      <w:r w:rsidR="004E67E9" w:rsidRPr="004E67E9">
        <w:rPr>
          <w:rFonts w:ascii="Cambria" w:hAnsi="Cambria"/>
          <w:i/>
          <w:sz w:val="24"/>
          <w:szCs w:val="24"/>
        </w:rPr>
        <w:t>not</w:t>
      </w:r>
      <w:r w:rsidR="004E67E9">
        <w:rPr>
          <w:rFonts w:ascii="Cambria" w:hAnsi="Cambria"/>
          <w:sz w:val="24"/>
          <w:szCs w:val="24"/>
        </w:rPr>
        <w:t xml:space="preserve"> an equal contribution.</w:t>
      </w:r>
    </w:p>
    <w:p w:rsidR="00B85A85" w:rsidRDefault="00B85A85" w:rsidP="000F499B">
      <w:pPr>
        <w:pStyle w:val="NormalWeb"/>
        <w:jc w:val="both"/>
        <w:rPr>
          <w:rFonts w:ascii="Cambria" w:hAnsi="Cambria"/>
          <w:sz w:val="24"/>
          <w:szCs w:val="24"/>
        </w:rPr>
      </w:pPr>
    </w:p>
    <w:p w:rsidR="00B85A85" w:rsidRDefault="00B85A85" w:rsidP="000F499B">
      <w:pPr>
        <w:pStyle w:val="Normal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REFERENCES</w:t>
      </w:r>
    </w:p>
    <w:p w:rsidR="00B85A85" w:rsidRPr="00007E6B" w:rsidRDefault="00B85A85" w:rsidP="00B85A85">
      <w:r w:rsidRPr="00007E6B">
        <w:t xml:space="preserve">Barden, R. C. (2006) </w:t>
      </w:r>
      <w:proofErr w:type="gramStart"/>
      <w:r w:rsidRPr="00007E6B">
        <w:t>Protecting</w:t>
      </w:r>
      <w:proofErr w:type="gramEnd"/>
      <w:r w:rsidRPr="00007E6B">
        <w:t xml:space="preserve"> the fundamental rights of children and families:  </w:t>
      </w:r>
    </w:p>
    <w:p w:rsidR="00B85A85" w:rsidRPr="00B85A85" w:rsidRDefault="00B85A85" w:rsidP="00B85A85">
      <w:pPr>
        <w:spacing w:line="480" w:lineRule="auto"/>
      </w:pPr>
      <w:r w:rsidRPr="00007E6B">
        <w:t xml:space="preserve">     </w:t>
      </w:r>
      <w:proofErr w:type="gramStart"/>
      <w:r w:rsidRPr="00007E6B">
        <w:t>Parental alienation syndrome and family law reform.</w:t>
      </w:r>
      <w:proofErr w:type="gramEnd"/>
      <w:r w:rsidRPr="00007E6B">
        <w:t xml:space="preserve"> In R. Gardner, R. Sauber, &amp; </w:t>
      </w:r>
    </w:p>
    <w:p w:rsidR="00B85A85" w:rsidRPr="00007E6B" w:rsidRDefault="00B85A85" w:rsidP="00B85A85">
      <w:pPr>
        <w:rPr>
          <w:i/>
        </w:rPr>
      </w:pPr>
      <w:r w:rsidRPr="00007E6B">
        <w:t xml:space="preserve">Gottlieb, L. (2012). The parental alienation syndrome: </w:t>
      </w:r>
      <w:r w:rsidRPr="00007E6B">
        <w:rPr>
          <w:i/>
        </w:rPr>
        <w:t xml:space="preserve">A family therapy and </w:t>
      </w:r>
    </w:p>
    <w:p w:rsidR="00B85A85" w:rsidRDefault="00B85A85" w:rsidP="00B85A85">
      <w:pPr>
        <w:spacing w:line="480" w:lineRule="auto"/>
      </w:pPr>
      <w:r w:rsidRPr="00007E6B">
        <w:rPr>
          <w:i/>
        </w:rPr>
        <w:t xml:space="preserve">     </w:t>
      </w:r>
      <w:proofErr w:type="gramStart"/>
      <w:r w:rsidRPr="00007E6B">
        <w:rPr>
          <w:i/>
        </w:rPr>
        <w:t>collaborative</w:t>
      </w:r>
      <w:proofErr w:type="gramEnd"/>
      <w:r w:rsidRPr="00007E6B">
        <w:rPr>
          <w:i/>
        </w:rPr>
        <w:t xml:space="preserve"> systems approach to amelioration. </w:t>
      </w:r>
      <w:r w:rsidRPr="00007E6B">
        <w:t xml:space="preserve">Springfield, </w:t>
      </w:r>
      <w:proofErr w:type="gramStart"/>
      <w:r w:rsidRPr="00007E6B">
        <w:t>Il</w:t>
      </w:r>
      <w:proofErr w:type="gramEnd"/>
      <w:r w:rsidRPr="00007E6B">
        <w:t>: Thomas</w:t>
      </w:r>
    </w:p>
    <w:p w:rsidR="00B85A85" w:rsidRPr="00007E6B" w:rsidRDefault="00B85A85" w:rsidP="00B85A85">
      <w:r w:rsidRPr="00007E6B">
        <w:t xml:space="preserve">Miller, S. (2013) “Clinical Reasoning and Decision Making.” In A. Baker &amp; R. Sauber   </w:t>
      </w:r>
    </w:p>
    <w:p w:rsidR="00B85A85" w:rsidRPr="00007E6B" w:rsidRDefault="00B85A85" w:rsidP="00B85A85">
      <w:r w:rsidRPr="00007E6B">
        <w:t xml:space="preserve">     (Eds.) </w:t>
      </w:r>
      <w:r w:rsidRPr="00007E6B">
        <w:rPr>
          <w:i/>
        </w:rPr>
        <w:t xml:space="preserve">Working with alienated children and families: A clinical guidebook. </w:t>
      </w:r>
      <w:r w:rsidRPr="00007E6B">
        <w:t xml:space="preserve">NY, NY: </w:t>
      </w:r>
    </w:p>
    <w:p w:rsidR="00B85A85" w:rsidRPr="00007E6B" w:rsidRDefault="00B85A85" w:rsidP="00B85A85">
      <w:r w:rsidRPr="00007E6B">
        <w:t xml:space="preserve">     Routledge</w:t>
      </w:r>
    </w:p>
    <w:p w:rsidR="00B85A85" w:rsidRPr="00007E6B" w:rsidRDefault="00B85A85" w:rsidP="00B85A85">
      <w:pPr>
        <w:spacing w:line="480" w:lineRule="auto"/>
      </w:pPr>
    </w:p>
    <w:p w:rsidR="00B85A85" w:rsidRDefault="00B85A85" w:rsidP="000F499B">
      <w:pPr>
        <w:pStyle w:val="NormalWeb"/>
        <w:jc w:val="both"/>
        <w:rPr>
          <w:rFonts w:ascii="Cambria" w:hAnsi="Cambria"/>
          <w:sz w:val="24"/>
          <w:szCs w:val="24"/>
        </w:rPr>
      </w:pPr>
    </w:p>
    <w:p w:rsidR="002B093E" w:rsidRDefault="002B093E" w:rsidP="000F499B">
      <w:pPr>
        <w:pStyle w:val="NormalWeb"/>
        <w:jc w:val="both"/>
        <w:rPr>
          <w:rFonts w:ascii="Cambria" w:hAnsi="Cambria"/>
          <w:sz w:val="24"/>
          <w:szCs w:val="24"/>
        </w:rPr>
      </w:pPr>
    </w:p>
    <w:sectPr w:rsidR="002B093E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FB"/>
    <w:rsid w:val="00005EE6"/>
    <w:rsid w:val="00036387"/>
    <w:rsid w:val="000F499B"/>
    <w:rsid w:val="002B093E"/>
    <w:rsid w:val="003B6A75"/>
    <w:rsid w:val="004553D3"/>
    <w:rsid w:val="004E67E9"/>
    <w:rsid w:val="005123CD"/>
    <w:rsid w:val="005A2C4C"/>
    <w:rsid w:val="00621AC6"/>
    <w:rsid w:val="00736FF6"/>
    <w:rsid w:val="00806B2C"/>
    <w:rsid w:val="008931E8"/>
    <w:rsid w:val="008D77C6"/>
    <w:rsid w:val="00AD67FB"/>
    <w:rsid w:val="00B85A85"/>
    <w:rsid w:val="00E14A20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5142</Characters>
  <Application>Microsoft Macintosh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Gottlieb Linda</cp:lastModifiedBy>
  <cp:revision>2</cp:revision>
  <dcterms:created xsi:type="dcterms:W3CDTF">2016-04-17T17:19:00Z</dcterms:created>
  <dcterms:modified xsi:type="dcterms:W3CDTF">2016-04-17T17:19:00Z</dcterms:modified>
</cp:coreProperties>
</file>